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474" w:rsidRPr="003D02E8" w:rsidRDefault="00E66474" w:rsidP="007645D4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3D02E8">
        <w:rPr>
          <w:rFonts w:ascii="Times New Roman" w:hAnsi="Times New Roman"/>
          <w:b/>
          <w:bCs/>
          <w:sz w:val="32"/>
          <w:szCs w:val="32"/>
          <w:lang w:val="uk-UA"/>
        </w:rPr>
        <w:t>Особливості ЗНО-2016</w:t>
      </w:r>
    </w:p>
    <w:p w:rsidR="00E66474" w:rsidRPr="00B40E07" w:rsidRDefault="00E66474" w:rsidP="007645D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66474" w:rsidRPr="00B40E07" w:rsidRDefault="00E66474" w:rsidP="007645D4">
      <w:pPr>
        <w:spacing w:after="36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>У 2016 році для вступу до вищого навчального закладу (ВНЗ) абітурієнти подають сертифікати ЗНО лише 2016 року.</w:t>
      </w: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 xml:space="preserve">Кожен учасник ЗНО має право скласти тести не більш як із </w:t>
      </w:r>
      <w:r w:rsidRPr="00B40E07">
        <w:rPr>
          <w:rFonts w:ascii="Times New Roman" w:hAnsi="Times New Roman"/>
          <w:b/>
          <w:bCs/>
          <w:sz w:val="28"/>
          <w:szCs w:val="28"/>
          <w:lang w:val="uk-UA"/>
        </w:rPr>
        <w:t xml:space="preserve">чотирьох </w:t>
      </w:r>
      <w:r w:rsidRPr="00B40E07">
        <w:rPr>
          <w:rFonts w:ascii="Times New Roman" w:hAnsi="Times New Roman"/>
          <w:sz w:val="28"/>
          <w:szCs w:val="28"/>
          <w:lang w:val="uk-UA"/>
        </w:rPr>
        <w:t>навчальних предметів з переліку:</w:t>
      </w: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Українська мова і література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Історія України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Математика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Біологія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Географія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Фізика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Хімія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Англійська мова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Іспанська мова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Німецька мова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Російська мова</w:t>
      </w:r>
    </w:p>
    <w:p w:rsidR="00E66474" w:rsidRPr="00B40E07" w:rsidRDefault="00E66474" w:rsidP="007645D4">
      <w:pPr>
        <w:numPr>
          <w:ilvl w:val="0"/>
          <w:numId w:val="2"/>
        </w:num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Французька мова</w:t>
      </w:r>
    </w:p>
    <w:p w:rsidR="00E66474" w:rsidRPr="00B40E07" w:rsidRDefault="00E66474" w:rsidP="007645D4">
      <w:pPr>
        <w:spacing w:after="0" w:line="243" w:lineRule="atLeast"/>
        <w:ind w:left="240"/>
        <w:rPr>
          <w:rFonts w:ascii="Times New Roman" w:hAnsi="Times New Roman"/>
          <w:sz w:val="28"/>
          <w:szCs w:val="28"/>
          <w:lang w:val="uk-UA"/>
        </w:rPr>
      </w:pP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 xml:space="preserve">Програми  зовнішнього незалежного оцінювання із усіх предметів розміщені в розділі  </w:t>
      </w:r>
      <w:hyperlink r:id="rId5" w:history="1">
        <w:r w:rsidRPr="00B40E07">
          <w:rPr>
            <w:rFonts w:ascii="Times New Roman" w:hAnsi="Times New Roman"/>
            <w:sz w:val="28"/>
            <w:szCs w:val="28"/>
            <w:u w:val="single"/>
            <w:lang w:val="uk-UA"/>
          </w:rPr>
          <w:t>«Підготовка до ЗНО»</w:t>
        </w:r>
      </w:hyperlink>
      <w:r w:rsidRPr="00B40E07">
        <w:rPr>
          <w:rFonts w:ascii="Times New Roman" w:hAnsi="Times New Roman"/>
          <w:sz w:val="28"/>
          <w:szCs w:val="28"/>
          <w:lang w:val="uk-UA"/>
        </w:rPr>
        <w:t>.</w:t>
      </w: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>Переклад завдань сертифікаційних робіт зовнішнього незалежного оцінювання 2016 року з історії України, математики, біології, географії, фізики, хімії буде здійснено кримськотатарською, молдовською, польською, російською, румунською та угорською мовами.</w:t>
      </w: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> </w:t>
      </w:r>
      <w:r w:rsidRPr="00B40E07">
        <w:rPr>
          <w:rFonts w:ascii="Times New Roman" w:hAnsi="Times New Roman"/>
          <w:b/>
          <w:bCs/>
          <w:sz w:val="28"/>
          <w:szCs w:val="28"/>
          <w:lang w:val="uk-UA"/>
        </w:rPr>
        <w:t>Державна підсумкова атестація з української мови, історії України та математики</w:t>
      </w:r>
    </w:p>
    <w:p w:rsidR="00E66474" w:rsidRPr="00B40E07" w:rsidRDefault="00E66474" w:rsidP="007645D4">
      <w:pPr>
        <w:spacing w:after="36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>Для усіх випускників старшої школи загальноосвітніх навчальних закладів 2016 року результати зовнішнього незалежного оцінювання з української мови і літератури зараховуватимуться як оцінки за державну підсумкову атестацію, що визначатимуться на основі кількості балів, набраних за виконання завдань лише з української мови. Як оцінки за державну підсумкову атестацію зараховуватимуться й результати зовнішнього незалежного оцінювання з математики або історії України (період ХХ – початок ХХІ століття).</w:t>
      </w: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b/>
          <w:bCs/>
          <w:sz w:val="28"/>
          <w:szCs w:val="28"/>
          <w:lang w:val="uk-UA"/>
        </w:rPr>
        <w:t>Встановлення «порогового бала»</w:t>
      </w: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>Для визначення результатів ЗНО-2016 з кожного предмета буде встановлено </w:t>
      </w:r>
      <w:r w:rsidRPr="00B40E07">
        <w:rPr>
          <w:rFonts w:ascii="Times New Roman" w:hAnsi="Times New Roman"/>
          <w:b/>
          <w:bCs/>
          <w:sz w:val="28"/>
          <w:szCs w:val="28"/>
          <w:lang w:val="uk-UA"/>
        </w:rPr>
        <w:t>«пороговий бал»</w:t>
      </w:r>
      <w:r w:rsidRPr="00B40E07">
        <w:rPr>
          <w:rFonts w:ascii="Times New Roman" w:hAnsi="Times New Roman"/>
          <w:sz w:val="28"/>
          <w:szCs w:val="28"/>
          <w:lang w:val="uk-UA"/>
        </w:rPr>
        <w:t>, тобто та кількість тестових балів, яку може набрати мінімально підготовлений абітурієнт. Учасники тестування, які не подолають «поріг», не зможуть використати результат ЗНО з цього предмета для вступу до ВНЗ. Усі абітурієнти, результати яких будуть не нижчими від «порогового бала», отримають оцінку за шкалою 100–200 балів та матимуть право брати участь в конкурсному відборі при вступі на навчання.</w:t>
      </w:r>
    </w:p>
    <w:p w:rsidR="00E66474" w:rsidRPr="00B40E07" w:rsidRDefault="00E66474" w:rsidP="007645D4">
      <w:pPr>
        <w:spacing w:after="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 xml:space="preserve">Детальніша інформація про метод визначення експертами «порогового бала» подана в статті Валерія Бойка </w:t>
      </w:r>
      <w:hyperlink r:id="rId6" w:history="1">
        <w:r w:rsidRPr="00B40E07">
          <w:rPr>
            <w:rFonts w:ascii="Times New Roman" w:hAnsi="Times New Roman"/>
            <w:sz w:val="28"/>
            <w:szCs w:val="28"/>
            <w:u w:val="single"/>
            <w:lang w:val="uk-UA"/>
          </w:rPr>
          <w:t>«Визначення результатів зовнішнього незалежного оцінювання: старі проблеми та нові перспективи»</w:t>
        </w:r>
      </w:hyperlink>
      <w:r w:rsidRPr="00B40E07">
        <w:rPr>
          <w:rFonts w:ascii="Times New Roman" w:hAnsi="Times New Roman"/>
          <w:sz w:val="28"/>
          <w:szCs w:val="28"/>
          <w:lang w:val="uk-UA"/>
        </w:rPr>
        <w:t>.</w:t>
      </w:r>
    </w:p>
    <w:p w:rsidR="00E66474" w:rsidRPr="00B40E07" w:rsidRDefault="00E66474" w:rsidP="007645D4">
      <w:pPr>
        <w:spacing w:after="360" w:line="243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B40E07">
        <w:rPr>
          <w:rFonts w:ascii="Times New Roman" w:hAnsi="Times New Roman"/>
          <w:sz w:val="28"/>
          <w:szCs w:val="28"/>
          <w:lang w:val="uk-UA"/>
        </w:rPr>
        <w:t> </w:t>
      </w:r>
    </w:p>
    <w:p w:rsidR="00E66474" w:rsidRPr="00B40E07" w:rsidRDefault="00E66474" w:rsidP="007645D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66474" w:rsidRPr="00B40E07" w:rsidSect="006C5E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7BCF"/>
    <w:multiLevelType w:val="multilevel"/>
    <w:tmpl w:val="BD783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6E4B4F"/>
    <w:multiLevelType w:val="multilevel"/>
    <w:tmpl w:val="B3544E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5D4"/>
    <w:rsid w:val="002418F5"/>
    <w:rsid w:val="003D02E8"/>
    <w:rsid w:val="006C5E5C"/>
    <w:rsid w:val="007645D4"/>
    <w:rsid w:val="00A06E33"/>
    <w:rsid w:val="00B40E07"/>
    <w:rsid w:val="00B54545"/>
    <w:rsid w:val="00CA0AC0"/>
    <w:rsid w:val="00E1721D"/>
    <w:rsid w:val="00E66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E5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7645D4"/>
    <w:rPr>
      <w:rFonts w:cs="Times New Roman"/>
    </w:rPr>
  </w:style>
  <w:style w:type="character" w:customStyle="1" w:styleId="bcurrentcrumb">
    <w:name w:val="b_currentcrumb"/>
    <w:basedOn w:val="DefaultParagraphFont"/>
    <w:uiPriority w:val="99"/>
    <w:rsid w:val="007645D4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7645D4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7645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7645D4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7645D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06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69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ation-ua.org/ua/articles/316-viznachennya-rezultativ-zovnishnogo-nezalezhnogo-otsinyuvannya-stari-problemi-ta-novi-perspektivi" TargetMode="External"/><Relationship Id="rId5" Type="http://schemas.openxmlformats.org/officeDocument/2006/relationships/hyperlink" Target="http://testportal.gov.ua/prepa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338</Words>
  <Characters>1929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Larisa</cp:lastModifiedBy>
  <cp:revision>8</cp:revision>
  <dcterms:created xsi:type="dcterms:W3CDTF">2015-11-18T06:56:00Z</dcterms:created>
  <dcterms:modified xsi:type="dcterms:W3CDTF">2015-11-18T09:32:00Z</dcterms:modified>
</cp:coreProperties>
</file>